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B9B0D" w14:textId="0700BBF3" w:rsidR="00FF7B9D" w:rsidRDefault="003F3DB1" w:rsidP="00FF7B9D">
      <w:pPr>
        <w:spacing w:line="276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What It means to be In Christ</w:t>
      </w:r>
    </w:p>
    <w:p w14:paraId="30D395F9" w14:textId="065A4BE4" w:rsidR="00FF7B9D" w:rsidRDefault="00FF7B9D" w:rsidP="00FF7B9D">
      <w:pPr>
        <w:spacing w:line="276" w:lineRule="auto"/>
        <w:jc w:val="center"/>
        <w:rPr>
          <w:rFonts w:ascii="Calibri" w:hAnsi="Calibri" w:cs="Calibri"/>
          <w:b/>
          <w:bCs/>
          <w:kern w:val="0"/>
        </w:rPr>
      </w:pPr>
      <w:r>
        <w:rPr>
          <w:rFonts w:ascii="Calibri" w:hAnsi="Calibri" w:cs="Calibri"/>
          <w:b/>
          <w:bCs/>
          <w:kern w:val="0"/>
        </w:rPr>
        <w:t>(2:11:13)</w:t>
      </w:r>
    </w:p>
    <w:p w14:paraId="4E9896CF" w14:textId="2E9A20CD" w:rsidR="00FF7B9D" w:rsidRDefault="00FF7B9D" w:rsidP="00FF7B9D">
      <w:pPr>
        <w:spacing w:line="360" w:lineRule="auto"/>
        <w:rPr>
          <w:rFonts w:ascii="Times New Roman" w:hAnsi="Times New Roman" w:cs="Times New Roman"/>
          <w:b/>
          <w:bCs/>
          <w:kern w:val="0"/>
        </w:rPr>
      </w:pPr>
      <w:r w:rsidRPr="00FF7B9D">
        <w:rPr>
          <w:rFonts w:ascii="Times New Roman" w:hAnsi="Times New Roman" w:cs="Times New Roman"/>
          <w:kern w:val="0"/>
        </w:rPr>
        <w:t xml:space="preserve">Paul has explained how God took those who were dead and granted them spiritual life solely </w:t>
      </w:r>
      <w:proofErr w:type="gramStart"/>
      <w:r w:rsidRPr="00FF7B9D">
        <w:rPr>
          <w:rFonts w:ascii="Times New Roman" w:hAnsi="Times New Roman" w:cs="Times New Roman"/>
          <w:kern w:val="0"/>
        </w:rPr>
        <w:t>on the basis of</w:t>
      </w:r>
      <w:proofErr w:type="gramEnd"/>
      <w:r w:rsidRPr="00FF7B9D">
        <w:rPr>
          <w:rFonts w:ascii="Times New Roman" w:hAnsi="Times New Roman" w:cs="Times New Roman"/>
          <w:kern w:val="0"/>
        </w:rPr>
        <w:t xml:space="preserve"> his grace. Spiritually alive, they can now do the good that pleases God—they are his projects. Now Paul moves to a radical implication of what it means to be </w:t>
      </w:r>
      <w:r w:rsidRPr="00FF7B9D">
        <w:rPr>
          <w:rFonts w:ascii="Times New Roman" w:hAnsi="Times New Roman" w:cs="Times New Roman"/>
          <w:b/>
          <w:bCs/>
          <w:kern w:val="0"/>
        </w:rPr>
        <w:t>“in Christ.”</w:t>
      </w:r>
      <w:r w:rsidRPr="00FF7B9D">
        <w:rPr>
          <w:rFonts w:ascii="Times New Roman" w:hAnsi="Times New Roman" w:cs="Times New Roman"/>
          <w:kern w:val="0"/>
        </w:rPr>
        <w:t xml:space="preserve"> Formerly the objects of Jewish ostracism, Gentiles who come to Christ now enter the people of God in the fullest sense. In fact, being </w:t>
      </w:r>
      <w:r w:rsidRPr="00FF7B9D">
        <w:rPr>
          <w:rFonts w:ascii="Times New Roman" w:hAnsi="Times New Roman" w:cs="Times New Roman"/>
          <w:b/>
          <w:bCs/>
          <w:kern w:val="0"/>
        </w:rPr>
        <w:t>in Christ</w:t>
      </w:r>
      <w:r w:rsidRPr="00FF7B9D">
        <w:rPr>
          <w:rFonts w:ascii="Times New Roman" w:hAnsi="Times New Roman" w:cs="Times New Roman"/>
          <w:kern w:val="0"/>
        </w:rPr>
        <w:t xml:space="preserve"> results in ethnic and racial reconciliation between Jews and Gentiles: </w:t>
      </w:r>
      <w:r w:rsidRPr="00FF7B9D">
        <w:rPr>
          <w:rFonts w:ascii="Times New Roman" w:hAnsi="Times New Roman" w:cs="Times New Roman"/>
          <w:b/>
          <w:bCs/>
          <w:kern w:val="0"/>
        </w:rPr>
        <w:t>they become one new body in Christ</w:t>
      </w:r>
      <w:r w:rsidRPr="00FF7B9D">
        <w:rPr>
          <w:rFonts w:ascii="Times New Roman" w:hAnsi="Times New Roman" w:cs="Times New Roman"/>
          <w:kern w:val="0"/>
        </w:rPr>
        <w:t xml:space="preserve">. After Paul explains this result, in 3:1 (as at 1:15) he seems ready to pray but then breaks off the prayer to elaborate his own position in relation to these readers—Jews and Gentiles </w:t>
      </w:r>
      <w:r w:rsidRPr="00FF7B9D">
        <w:rPr>
          <w:rFonts w:ascii="Times New Roman" w:hAnsi="Times New Roman" w:cs="Times New Roman"/>
          <w:b/>
          <w:bCs/>
          <w:kern w:val="0"/>
        </w:rPr>
        <w:t>now joined into one body</w:t>
      </w:r>
      <w:r w:rsidRPr="00FF7B9D">
        <w:rPr>
          <w:rFonts w:ascii="Times New Roman" w:hAnsi="Times New Roman" w:cs="Times New Roman"/>
          <w:kern w:val="0"/>
        </w:rPr>
        <w:t>. The prayer resumes in the next section, starting at 3:14.</w:t>
      </w:r>
      <w:r>
        <w:rPr>
          <w:rFonts w:ascii="Times New Roman" w:hAnsi="Times New Roman" w:cs="Times New Roman"/>
          <w:kern w:val="0"/>
        </w:rPr>
        <w:t xml:space="preserve"> </w:t>
      </w:r>
      <w:r w:rsidRPr="002731EB">
        <w:rPr>
          <w:rFonts w:ascii="Times New Roman" w:hAnsi="Times New Roman" w:cs="Times New Roman"/>
          <w:b/>
          <w:bCs/>
          <w:kern w:val="0"/>
        </w:rPr>
        <w:t>Paul asks the Gentile readers to remember their former dreadful and lost condition before they were rescued by Christ’s death (vv. 11–13)</w:t>
      </w:r>
      <w:r w:rsidR="002731EB">
        <w:rPr>
          <w:rFonts w:ascii="Times New Roman" w:hAnsi="Times New Roman" w:cs="Times New Roman"/>
          <w:b/>
          <w:bCs/>
          <w:kern w:val="0"/>
        </w:rPr>
        <w:t>.</w:t>
      </w:r>
      <w:r w:rsidRPr="00FF7B9D">
        <w:rPr>
          <w:rFonts w:ascii="Calibri" w:hAnsi="Calibri" w:cs="Calibri"/>
          <w:kern w:val="0"/>
          <w:vertAlign w:val="superscript"/>
        </w:rPr>
        <w:footnoteReference w:id="1"/>
      </w:r>
    </w:p>
    <w:p w14:paraId="357C6C17" w14:textId="780F8700" w:rsidR="002731EB" w:rsidRDefault="002731EB" w:rsidP="002731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(2:11) starts with “therefore,” since you now understand (verses 1-10). We must keep remembering our </w:t>
      </w:r>
      <w:r w:rsidR="003F3DB1">
        <w:rPr>
          <w:rFonts w:ascii="Times New Roman" w:hAnsi="Times New Roman" w:cs="Times New Roman"/>
          <w:b/>
          <w:bCs/>
          <w:kern w:val="0"/>
          <w:u w:val="single"/>
        </w:rPr>
        <w:t>___________</w:t>
      </w:r>
      <w:r>
        <w:rPr>
          <w:rFonts w:ascii="Times New Roman" w:hAnsi="Times New Roman" w:cs="Times New Roman"/>
          <w:kern w:val="0"/>
        </w:rPr>
        <w:t xml:space="preserve"> before God gave us new life </w:t>
      </w:r>
      <w:r w:rsidR="003F3DB1">
        <w:rPr>
          <w:rFonts w:ascii="Times New Roman" w:hAnsi="Times New Roman" w:cs="Times New Roman"/>
          <w:b/>
          <w:bCs/>
          <w:kern w:val="0"/>
          <w:u w:val="single"/>
        </w:rPr>
        <w:t>_____________</w:t>
      </w:r>
      <w:r>
        <w:rPr>
          <w:rFonts w:ascii="Times New Roman" w:hAnsi="Times New Roman" w:cs="Times New Roman"/>
          <w:kern w:val="0"/>
        </w:rPr>
        <w:t xml:space="preserve">.  </w:t>
      </w:r>
    </w:p>
    <w:p w14:paraId="78E4FC61" w14:textId="33B9888A" w:rsidR="002731EB" w:rsidRDefault="002731EB" w:rsidP="002731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We are called Gentiles, and Jews scornfully called Gentiles “</w:t>
      </w:r>
      <w:r w:rsidR="003F3DB1">
        <w:rPr>
          <w:rFonts w:ascii="Times New Roman" w:hAnsi="Times New Roman" w:cs="Times New Roman"/>
          <w:b/>
          <w:bCs/>
          <w:kern w:val="0"/>
          <w:u w:val="single"/>
        </w:rPr>
        <w:t>__________________</w:t>
      </w:r>
      <w:r>
        <w:rPr>
          <w:rFonts w:ascii="Times New Roman" w:hAnsi="Times New Roman" w:cs="Times New Roman"/>
          <w:kern w:val="0"/>
        </w:rPr>
        <w:t>,” (</w:t>
      </w:r>
      <w:proofErr w:type="spellStart"/>
      <w:r>
        <w:rPr>
          <w:rFonts w:ascii="Times New Roman" w:hAnsi="Times New Roman" w:cs="Times New Roman"/>
          <w:kern w:val="0"/>
        </w:rPr>
        <w:t>Jdg</w:t>
      </w:r>
      <w:proofErr w:type="spellEnd"/>
      <w:r>
        <w:rPr>
          <w:rFonts w:ascii="Times New Roman" w:hAnsi="Times New Roman" w:cs="Times New Roman"/>
          <w:kern w:val="0"/>
        </w:rPr>
        <w:t xml:space="preserve"> 15:18; 1Sam</w:t>
      </w:r>
      <w:r w:rsidR="00343798">
        <w:rPr>
          <w:rFonts w:ascii="Times New Roman" w:hAnsi="Times New Roman" w:cs="Times New Roman"/>
          <w:kern w:val="0"/>
        </w:rPr>
        <w:t>. 17:26, 36; Isa. 52:1; Eze 31:18) “</w:t>
      </w:r>
      <w:r w:rsidR="003F3DB1">
        <w:rPr>
          <w:rFonts w:ascii="Times New Roman" w:hAnsi="Times New Roman" w:cs="Times New Roman"/>
          <w:b/>
          <w:bCs/>
          <w:kern w:val="0"/>
          <w:u w:val="single"/>
        </w:rPr>
        <w:t>__________________</w:t>
      </w:r>
      <w:r w:rsidR="00343798">
        <w:rPr>
          <w:rFonts w:ascii="Times New Roman" w:hAnsi="Times New Roman" w:cs="Times New Roman"/>
          <w:kern w:val="0"/>
        </w:rPr>
        <w:t>” literally means “</w:t>
      </w:r>
      <w:r w:rsidR="003F3DB1">
        <w:rPr>
          <w:rFonts w:ascii="Times New Roman" w:hAnsi="Times New Roman" w:cs="Times New Roman"/>
          <w:b/>
          <w:bCs/>
          <w:kern w:val="0"/>
          <w:u w:val="single"/>
        </w:rPr>
        <w:t>________________</w:t>
      </w:r>
      <w:r w:rsidR="00343798">
        <w:rPr>
          <w:rFonts w:ascii="Times New Roman" w:hAnsi="Times New Roman" w:cs="Times New Roman"/>
          <w:kern w:val="0"/>
        </w:rPr>
        <w:t>.” This is racial profiling!!</w:t>
      </w:r>
    </w:p>
    <w:p w14:paraId="50870535" w14:textId="7593358B" w:rsidR="00A07D60" w:rsidRDefault="00A07D60" w:rsidP="002731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Paul is pointing out Jewish </w:t>
      </w:r>
      <w:r w:rsidR="003F3DB1">
        <w:rPr>
          <w:rFonts w:ascii="Times New Roman" w:hAnsi="Times New Roman" w:cs="Times New Roman"/>
          <w:b/>
          <w:bCs/>
          <w:kern w:val="0"/>
          <w:u w:val="single"/>
        </w:rPr>
        <w:t>______________</w:t>
      </w:r>
      <w:r>
        <w:rPr>
          <w:rFonts w:ascii="Times New Roman" w:hAnsi="Times New Roman" w:cs="Times New Roman"/>
          <w:kern w:val="0"/>
        </w:rPr>
        <w:t xml:space="preserve">, which shows how </w:t>
      </w:r>
      <w:r w:rsidR="003F3DB1">
        <w:rPr>
          <w:rFonts w:ascii="Times New Roman" w:hAnsi="Times New Roman" w:cs="Times New Roman"/>
          <w:b/>
          <w:bCs/>
          <w:kern w:val="0"/>
          <w:u w:val="single"/>
        </w:rPr>
        <w:t>_________</w:t>
      </w:r>
      <w:r w:rsidRPr="009416DD">
        <w:rPr>
          <w:rFonts w:ascii="Times New Roman" w:hAnsi="Times New Roman" w:cs="Times New Roman"/>
          <w:b/>
          <w:bCs/>
          <w:kern w:val="0"/>
          <w:u w:val="single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and </w:t>
      </w:r>
      <w:r w:rsidR="003F3DB1">
        <w:rPr>
          <w:rFonts w:ascii="Times New Roman" w:hAnsi="Times New Roman" w:cs="Times New Roman"/>
          <w:kern w:val="0"/>
          <w:u w:val="single"/>
        </w:rPr>
        <w:t>_________________</w:t>
      </w:r>
      <w:r>
        <w:rPr>
          <w:rFonts w:ascii="Times New Roman" w:hAnsi="Times New Roman" w:cs="Times New Roman"/>
          <w:kern w:val="0"/>
        </w:rPr>
        <w:t xml:space="preserve"> such Jews were to judge people </w:t>
      </w:r>
      <w:proofErr w:type="gramStart"/>
      <w:r>
        <w:rPr>
          <w:rFonts w:ascii="Times New Roman" w:hAnsi="Times New Roman" w:cs="Times New Roman"/>
          <w:kern w:val="0"/>
        </w:rPr>
        <w:t>on the basis of</w:t>
      </w:r>
      <w:proofErr w:type="gramEnd"/>
      <w:r>
        <w:rPr>
          <w:rFonts w:ascii="Times New Roman" w:hAnsi="Times New Roman" w:cs="Times New Roman"/>
          <w:kern w:val="0"/>
        </w:rPr>
        <w:t xml:space="preserve"> an outward, physical marking performed by human hands. (Circumcision). </w:t>
      </w:r>
    </w:p>
    <w:p w14:paraId="7DFB3051" w14:textId="21B92A8C" w:rsidR="00A07D60" w:rsidRDefault="00A07D60" w:rsidP="002731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Though God instructed the Jews to </w:t>
      </w:r>
      <w:r w:rsidR="003F3DB1">
        <w:rPr>
          <w:rFonts w:ascii="Times New Roman" w:hAnsi="Times New Roman" w:cs="Times New Roman"/>
          <w:b/>
          <w:bCs/>
          <w:kern w:val="0"/>
          <w:u w:val="single"/>
        </w:rPr>
        <w:t>_________________</w:t>
      </w:r>
      <w:r>
        <w:rPr>
          <w:rFonts w:ascii="Times New Roman" w:hAnsi="Times New Roman" w:cs="Times New Roman"/>
          <w:kern w:val="0"/>
        </w:rPr>
        <w:t xml:space="preserve">their sons, they turned this an </w:t>
      </w:r>
      <w:r w:rsidRPr="009416DD">
        <w:rPr>
          <w:rFonts w:ascii="Times New Roman" w:hAnsi="Times New Roman" w:cs="Times New Roman"/>
          <w:b/>
          <w:bCs/>
          <w:kern w:val="0"/>
        </w:rPr>
        <w:t>excuse</w:t>
      </w:r>
      <w:r>
        <w:rPr>
          <w:rFonts w:ascii="Times New Roman" w:hAnsi="Times New Roman" w:cs="Times New Roman"/>
          <w:kern w:val="0"/>
        </w:rPr>
        <w:t xml:space="preserve"> to despise the </w:t>
      </w:r>
      <w:r w:rsidR="003F3DB1">
        <w:rPr>
          <w:rFonts w:ascii="Times New Roman" w:hAnsi="Times New Roman" w:cs="Times New Roman"/>
          <w:b/>
          <w:bCs/>
          <w:kern w:val="0"/>
          <w:u w:val="single"/>
        </w:rPr>
        <w:t>________________</w:t>
      </w:r>
      <w:r>
        <w:rPr>
          <w:rFonts w:ascii="Times New Roman" w:hAnsi="Times New Roman" w:cs="Times New Roman"/>
          <w:kern w:val="0"/>
        </w:rPr>
        <w:t>.</w:t>
      </w:r>
    </w:p>
    <w:p w14:paraId="00314681" w14:textId="4F8AFED4" w:rsidR="009416DD" w:rsidRDefault="009416DD" w:rsidP="002731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Even though </w:t>
      </w:r>
      <w:r w:rsidR="003F3DB1">
        <w:rPr>
          <w:rFonts w:ascii="Times New Roman" w:hAnsi="Times New Roman" w:cs="Times New Roman"/>
          <w:b/>
          <w:bCs/>
          <w:kern w:val="0"/>
          <w:u w:val="single"/>
        </w:rPr>
        <w:t>_______________</w:t>
      </w:r>
      <w:r>
        <w:rPr>
          <w:rFonts w:ascii="Times New Roman" w:hAnsi="Times New Roman" w:cs="Times New Roman"/>
          <w:kern w:val="0"/>
        </w:rPr>
        <w:t xml:space="preserve">was important it had no </w:t>
      </w:r>
      <w:r w:rsidR="003F3DB1">
        <w:rPr>
          <w:rFonts w:ascii="Times New Roman" w:hAnsi="Times New Roman" w:cs="Times New Roman"/>
          <w:b/>
          <w:bCs/>
          <w:kern w:val="0"/>
          <w:u w:val="single"/>
        </w:rPr>
        <w:t>_______________</w:t>
      </w:r>
      <w:r>
        <w:rPr>
          <w:rFonts w:ascii="Times New Roman" w:hAnsi="Times New Roman" w:cs="Times New Roman"/>
          <w:kern w:val="0"/>
        </w:rPr>
        <w:t xml:space="preserve">value before God. (Romans 4:9-12; Gal 5:6; 1 Cor. 7:19). </w:t>
      </w:r>
    </w:p>
    <w:p w14:paraId="474A4995" w14:textId="298383E2" w:rsidR="009416DD" w:rsidRDefault="009416DD" w:rsidP="002731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True circumcision was inward (Romans 2:28-29; Lev. 26:41), (</w:t>
      </w:r>
      <w:proofErr w:type="spellStart"/>
      <w:r>
        <w:rPr>
          <w:rFonts w:ascii="Times New Roman" w:hAnsi="Times New Roman" w:cs="Times New Roman"/>
          <w:kern w:val="0"/>
        </w:rPr>
        <w:t>Php</w:t>
      </w:r>
      <w:proofErr w:type="spellEnd"/>
      <w:r>
        <w:rPr>
          <w:rFonts w:ascii="Times New Roman" w:hAnsi="Times New Roman" w:cs="Times New Roman"/>
          <w:kern w:val="0"/>
        </w:rPr>
        <w:t xml:space="preserve">. 3.3; Col. 3:11). </w:t>
      </w:r>
    </w:p>
    <w:p w14:paraId="565DAFF5" w14:textId="6EFCB78D" w:rsidR="009416DD" w:rsidRDefault="00974046" w:rsidP="002731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bCs/>
          <w:kern w:val="0"/>
          <w:u w:val="single"/>
        </w:rPr>
        <w:t>______________</w:t>
      </w:r>
      <w:r w:rsidR="009416DD" w:rsidRPr="009416DD">
        <w:rPr>
          <w:rFonts w:ascii="Times New Roman" w:hAnsi="Times New Roman" w:cs="Times New Roman"/>
          <w:b/>
          <w:bCs/>
          <w:kern w:val="0"/>
          <w:u w:val="single"/>
        </w:rPr>
        <w:t xml:space="preserve"> </w:t>
      </w:r>
      <w:r w:rsidR="009416DD">
        <w:rPr>
          <w:rFonts w:ascii="Times New Roman" w:hAnsi="Times New Roman" w:cs="Times New Roman"/>
          <w:kern w:val="0"/>
        </w:rPr>
        <w:t xml:space="preserve">were in deep trouble prior to becoming </w:t>
      </w:r>
      <w:r>
        <w:rPr>
          <w:rFonts w:ascii="Times New Roman" w:hAnsi="Times New Roman" w:cs="Times New Roman"/>
          <w:b/>
          <w:bCs/>
          <w:kern w:val="0"/>
          <w:u w:val="single"/>
        </w:rPr>
        <w:t>_______________</w:t>
      </w:r>
      <w:r w:rsidR="009416DD">
        <w:rPr>
          <w:rFonts w:ascii="Times New Roman" w:hAnsi="Times New Roman" w:cs="Times New Roman"/>
          <w:kern w:val="0"/>
        </w:rPr>
        <w:t>.</w:t>
      </w:r>
    </w:p>
    <w:p w14:paraId="734C8C08" w14:textId="3827DD06" w:rsidR="00E477F1" w:rsidRDefault="00E477F1" w:rsidP="002731E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kern w:val="0"/>
        </w:rPr>
      </w:pPr>
      <w:r w:rsidRPr="00E477F1">
        <w:rPr>
          <w:rFonts w:ascii="Times New Roman" w:hAnsi="Times New Roman" w:cs="Times New Roman"/>
          <w:kern w:val="0"/>
        </w:rPr>
        <w:lastRenderedPageBreak/>
        <w:t>(verse 17</w:t>
      </w:r>
      <w:r>
        <w:rPr>
          <w:rFonts w:ascii="Times New Roman" w:hAnsi="Times New Roman" w:cs="Times New Roman"/>
          <w:kern w:val="0"/>
        </w:rPr>
        <w:t xml:space="preserve">), Spells out Five elements that describe the formerly dire situation </w:t>
      </w:r>
      <w:proofErr w:type="spellStart"/>
      <w:r>
        <w:rPr>
          <w:rFonts w:ascii="Times New Roman" w:hAnsi="Times New Roman" w:cs="Times New Roman"/>
          <w:kern w:val="0"/>
        </w:rPr>
        <w:t>the</w:t>
      </w:r>
      <w:proofErr w:type="spellEnd"/>
      <w:r>
        <w:rPr>
          <w:rFonts w:ascii="Times New Roman" w:hAnsi="Times New Roman" w:cs="Times New Roman"/>
          <w:kern w:val="0"/>
        </w:rPr>
        <w:t xml:space="preserve"> </w:t>
      </w:r>
      <w:r w:rsidR="00974046">
        <w:rPr>
          <w:rFonts w:ascii="Times New Roman" w:hAnsi="Times New Roman" w:cs="Times New Roman"/>
          <w:b/>
          <w:bCs/>
          <w:kern w:val="0"/>
          <w:u w:val="single"/>
        </w:rPr>
        <w:t>_________________</w:t>
      </w:r>
      <w:r w:rsidRPr="00917F5C">
        <w:rPr>
          <w:rFonts w:ascii="Times New Roman" w:hAnsi="Times New Roman" w:cs="Times New Roman"/>
          <w:b/>
          <w:bCs/>
          <w:kern w:val="0"/>
          <w:u w:val="single"/>
        </w:rPr>
        <w:t xml:space="preserve"> </w:t>
      </w:r>
      <w:r>
        <w:rPr>
          <w:rFonts w:ascii="Times New Roman" w:hAnsi="Times New Roman" w:cs="Times New Roman"/>
          <w:kern w:val="0"/>
        </w:rPr>
        <w:t>were in as well.</w:t>
      </w:r>
    </w:p>
    <w:p w14:paraId="613B8CC6" w14:textId="3A7A2CB2" w:rsidR="00E477F1" w:rsidRDefault="00E477F1" w:rsidP="00E477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They were without Christ- “separate from Christ.” They did not share the same hope for a coming Messiah.</w:t>
      </w:r>
    </w:p>
    <w:p w14:paraId="7A31C6D3" w14:textId="1ED84243" w:rsidR="009416DD" w:rsidRDefault="00E477F1" w:rsidP="00E477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They were people without a country</w:t>
      </w:r>
      <w:r w:rsidR="00EF3101">
        <w:rPr>
          <w:rFonts w:ascii="Times New Roman" w:hAnsi="Times New Roman" w:cs="Times New Roman"/>
          <w:kern w:val="0"/>
        </w:rPr>
        <w:t xml:space="preserve">, “excluded from Israel. (Eph. 4:18; Colo. 1:21) They had no share in the privileges and blessings God granted to his people Iseral. </w:t>
      </w:r>
    </w:p>
    <w:p w14:paraId="5103C487" w14:textId="7E116AA4" w:rsidR="00EF3101" w:rsidRDefault="00EF3101" w:rsidP="00E477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They were foreigners to the promises God had made in his covenants to Israel- and thus excluded. (Acts 13:32-33) (Gen. 17:7; Ex 2:24). Gentiles were never recipients of God’s covenanted promises. </w:t>
      </w:r>
    </w:p>
    <w:p w14:paraId="58017427" w14:textId="4F6F8FA9" w:rsidR="00917F5C" w:rsidRDefault="00917F5C" w:rsidP="00E477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kern w:val="0"/>
        </w:rPr>
        <w:t xml:space="preserve">Gentiles lived in this world in a hopeless condition. They were not merely void of any messianic hope; they had no hope in the widest possible sense. Hope belongs to believers (Eph.1:8). </w:t>
      </w:r>
      <w:r w:rsidRPr="00917F5C">
        <w:rPr>
          <w:rFonts w:ascii="Times New Roman" w:hAnsi="Times New Roman" w:cs="Times New Roman"/>
          <w:b/>
          <w:bCs/>
          <w:kern w:val="0"/>
        </w:rPr>
        <w:t>Imagine people having to negotiate life in this world with no hope to sustain them for this life and beyond death. (This describes Gentiles before Christ).</w:t>
      </w:r>
      <w:r>
        <w:rPr>
          <w:rFonts w:ascii="Times New Roman" w:hAnsi="Times New Roman" w:cs="Times New Roman"/>
          <w:b/>
          <w:bCs/>
          <w:kern w:val="0"/>
        </w:rPr>
        <w:t xml:space="preserve"> </w:t>
      </w:r>
    </w:p>
    <w:p w14:paraId="11FFAA9D" w14:textId="40BE668E" w:rsidR="00917F5C" w:rsidRDefault="00917F5C" w:rsidP="00E477F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kern w:val="0"/>
        </w:rPr>
      </w:pPr>
      <w:r w:rsidRPr="00917F5C">
        <w:rPr>
          <w:rFonts w:ascii="Times New Roman" w:hAnsi="Times New Roman" w:cs="Times New Roman"/>
          <w:kern w:val="0"/>
        </w:rPr>
        <w:t xml:space="preserve">They lived </w:t>
      </w:r>
      <w:r w:rsidRPr="00917F5C">
        <w:rPr>
          <w:rFonts w:ascii="Times New Roman" w:hAnsi="Times New Roman" w:cs="Times New Roman"/>
          <w:b/>
          <w:bCs/>
          <w:kern w:val="0"/>
          <w:u w:val="single"/>
        </w:rPr>
        <w:t>godless</w:t>
      </w:r>
      <w:r w:rsidRPr="00917F5C">
        <w:rPr>
          <w:rFonts w:ascii="Times New Roman" w:hAnsi="Times New Roman" w:cs="Times New Roman"/>
          <w:kern w:val="0"/>
        </w:rPr>
        <w:t xml:space="preserve"> lives in the world. </w:t>
      </w:r>
      <w:r>
        <w:rPr>
          <w:rFonts w:ascii="Times New Roman" w:hAnsi="Times New Roman" w:cs="Times New Roman"/>
          <w:kern w:val="0"/>
        </w:rPr>
        <w:t xml:space="preserve">“Godless”-without God. This could refer to one who is an </w:t>
      </w:r>
      <w:r w:rsidRPr="00917F5C">
        <w:rPr>
          <w:rFonts w:ascii="Times New Roman" w:hAnsi="Times New Roman" w:cs="Times New Roman"/>
          <w:b/>
          <w:bCs/>
          <w:kern w:val="0"/>
          <w:u w:val="single"/>
        </w:rPr>
        <w:t>atheist,</w:t>
      </w:r>
      <w:r>
        <w:rPr>
          <w:rFonts w:ascii="Times New Roman" w:hAnsi="Times New Roman" w:cs="Times New Roman"/>
          <w:kern w:val="0"/>
        </w:rPr>
        <w:t xml:space="preserve"> or to one who exist without a relationship to God or without help</w:t>
      </w:r>
      <w:r w:rsidR="002A7149">
        <w:rPr>
          <w:rFonts w:ascii="Times New Roman" w:hAnsi="Times New Roman" w:cs="Times New Roman"/>
          <w:kern w:val="0"/>
        </w:rPr>
        <w:t xml:space="preserve">. Gentiles were not necessarily atheists- many were polytheists and had many gods. </w:t>
      </w:r>
    </w:p>
    <w:p w14:paraId="08D78C00" w14:textId="6D7653EB" w:rsidR="002A7149" w:rsidRPr="00A17584" w:rsidRDefault="002A7149" w:rsidP="002A7149">
      <w:pPr>
        <w:pStyle w:val="ListParagraph"/>
        <w:spacing w:line="360" w:lineRule="auto"/>
        <w:rPr>
          <w:rFonts w:ascii="Times New Roman" w:hAnsi="Times New Roman" w:cs="Times New Roman"/>
          <w:b/>
          <w:bCs/>
          <w:kern w:val="0"/>
          <w:u w:val="single"/>
        </w:rPr>
      </w:pPr>
      <w:r w:rsidRPr="002A7149">
        <w:rPr>
          <w:rFonts w:ascii="Times New Roman" w:hAnsi="Times New Roman" w:cs="Times New Roman"/>
          <w:kern w:val="0"/>
        </w:rPr>
        <w:t xml:space="preserve">9. </w:t>
      </w:r>
      <w:r>
        <w:rPr>
          <w:rFonts w:ascii="Times New Roman" w:hAnsi="Times New Roman" w:cs="Times New Roman"/>
          <w:kern w:val="0"/>
        </w:rPr>
        <w:t xml:space="preserve"> We who were formerly </w:t>
      </w:r>
      <w:r w:rsidR="00974046">
        <w:rPr>
          <w:rFonts w:ascii="Times New Roman" w:hAnsi="Times New Roman" w:cs="Times New Roman"/>
          <w:b/>
          <w:bCs/>
          <w:kern w:val="0"/>
          <w:u w:val="single"/>
        </w:rPr>
        <w:t>_____________</w:t>
      </w:r>
      <w:r>
        <w:rPr>
          <w:rFonts w:ascii="Times New Roman" w:hAnsi="Times New Roman" w:cs="Times New Roman"/>
          <w:kern w:val="0"/>
        </w:rPr>
        <w:t xml:space="preserve"> and </w:t>
      </w:r>
      <w:r w:rsidR="00974046">
        <w:rPr>
          <w:rFonts w:ascii="Times New Roman" w:hAnsi="Times New Roman" w:cs="Times New Roman"/>
          <w:b/>
          <w:bCs/>
          <w:kern w:val="0"/>
          <w:u w:val="single"/>
        </w:rPr>
        <w:t>__________</w:t>
      </w:r>
      <w:r w:rsidRPr="00A17584">
        <w:rPr>
          <w:rFonts w:ascii="Times New Roman" w:hAnsi="Times New Roman" w:cs="Times New Roman"/>
          <w:b/>
          <w:bCs/>
          <w:kern w:val="0"/>
          <w:u w:val="single"/>
        </w:rPr>
        <w:t xml:space="preserve"> </w:t>
      </w:r>
      <w:r>
        <w:rPr>
          <w:rFonts w:ascii="Times New Roman" w:hAnsi="Times New Roman" w:cs="Times New Roman"/>
          <w:kern w:val="0"/>
        </w:rPr>
        <w:t>have all they lacked they now have</w:t>
      </w:r>
      <w:r w:rsidR="00A17584">
        <w:rPr>
          <w:rFonts w:ascii="Times New Roman" w:hAnsi="Times New Roman" w:cs="Times New Roman"/>
          <w:kern w:val="0"/>
        </w:rPr>
        <w:t xml:space="preserve"> it “</w:t>
      </w:r>
      <w:r w:rsidR="00974046">
        <w:rPr>
          <w:rFonts w:ascii="Times New Roman" w:hAnsi="Times New Roman" w:cs="Times New Roman"/>
          <w:b/>
          <w:bCs/>
          <w:kern w:val="0"/>
          <w:u w:val="single"/>
        </w:rPr>
        <w:t>______________</w:t>
      </w:r>
      <w:r w:rsidRPr="00A17584">
        <w:rPr>
          <w:rFonts w:ascii="Times New Roman" w:hAnsi="Times New Roman" w:cs="Times New Roman"/>
          <w:b/>
          <w:bCs/>
          <w:kern w:val="0"/>
          <w:u w:val="single"/>
        </w:rPr>
        <w:t>.”</w:t>
      </w:r>
    </w:p>
    <w:p w14:paraId="2160D0E1" w14:textId="5D60E4AC" w:rsidR="002A7149" w:rsidRPr="002A7149" w:rsidRDefault="002A7149" w:rsidP="002A7149">
      <w:pPr>
        <w:pStyle w:val="ListParagraph"/>
        <w:spacing w:line="36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10. Reversed by the “blood of Christ,” Eph. 1:7; Blood refers to Christ death on the cross, </w:t>
      </w:r>
      <w:r w:rsidR="00A17584">
        <w:rPr>
          <w:rFonts w:ascii="Times New Roman" w:hAnsi="Times New Roman" w:cs="Times New Roman"/>
          <w:kern w:val="0"/>
        </w:rPr>
        <w:t>(</w:t>
      </w:r>
      <w:r>
        <w:rPr>
          <w:rFonts w:ascii="Times New Roman" w:hAnsi="Times New Roman" w:cs="Times New Roman"/>
          <w:kern w:val="0"/>
        </w:rPr>
        <w:t xml:space="preserve">Eph. 2:16; </w:t>
      </w:r>
      <w:r w:rsidR="00A17584">
        <w:rPr>
          <w:rFonts w:ascii="Times New Roman" w:hAnsi="Times New Roman" w:cs="Times New Roman"/>
          <w:kern w:val="0"/>
        </w:rPr>
        <w:t>Col. 1:20)</w:t>
      </w:r>
    </w:p>
    <w:p w14:paraId="5B8D1BC7" w14:textId="19093FEF" w:rsidR="00917F5C" w:rsidRPr="00A17584" w:rsidRDefault="00A17584" w:rsidP="00917F5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bCs/>
          <w:kern w:val="0"/>
        </w:rPr>
      </w:pPr>
      <w:r w:rsidRPr="00A17584">
        <w:rPr>
          <w:rFonts w:ascii="Calibri" w:hAnsi="Calibri" w:cs="Calibri"/>
          <w:b/>
          <w:bCs/>
          <w:kern w:val="0"/>
        </w:rPr>
        <w:t>According to the OT sacrificial system, God required the shedding of blood to gain forgiveness (Ex 30:10; 2 Ch 29:24; Heb 9:22). Christ shed his blood, i.e., he died to save from sins (Heb 9:14; 1 Jn 1:7). Christ’s death is key and central to the reversal of the Gentiles’ fortunes.</w:t>
      </w:r>
      <w:r w:rsidRPr="00A17584">
        <w:rPr>
          <w:rFonts w:ascii="Calibri" w:hAnsi="Calibri" w:cs="Calibri"/>
          <w:b/>
          <w:bCs/>
          <w:kern w:val="0"/>
          <w:vertAlign w:val="superscript"/>
        </w:rPr>
        <w:footnoteReference w:id="2"/>
      </w:r>
    </w:p>
    <w:p w14:paraId="5F5CAA0E" w14:textId="77777777" w:rsidR="00FF7B9D" w:rsidRPr="00FF7B9D" w:rsidRDefault="00FF7B9D" w:rsidP="00FF7B9D">
      <w:pPr>
        <w:spacing w:line="360" w:lineRule="auto"/>
        <w:rPr>
          <w:rFonts w:ascii="Times New Roman" w:hAnsi="Times New Roman" w:cs="Times New Roman"/>
          <w:b/>
          <w:bCs/>
          <w:kern w:val="0"/>
        </w:rPr>
      </w:pPr>
    </w:p>
    <w:sectPr w:rsidR="00FF7B9D" w:rsidRPr="00FF7B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A817E" w14:textId="77777777" w:rsidR="00266CB9" w:rsidRDefault="00266CB9" w:rsidP="00FF7B9D">
      <w:pPr>
        <w:spacing w:after="0" w:line="240" w:lineRule="auto"/>
      </w:pPr>
      <w:r>
        <w:separator/>
      </w:r>
    </w:p>
  </w:endnote>
  <w:endnote w:type="continuationSeparator" w:id="0">
    <w:p w14:paraId="1A37C48E" w14:textId="77777777" w:rsidR="00266CB9" w:rsidRDefault="00266CB9" w:rsidP="00FF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8787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4EE52C" w14:textId="03C95DD2" w:rsidR="00A17584" w:rsidRDefault="00A175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FD0FE8" w14:textId="77777777" w:rsidR="00A17584" w:rsidRDefault="00A17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04299" w14:textId="77777777" w:rsidR="00266CB9" w:rsidRDefault="00266CB9" w:rsidP="00FF7B9D">
      <w:pPr>
        <w:spacing w:after="0" w:line="240" w:lineRule="auto"/>
      </w:pPr>
      <w:r>
        <w:separator/>
      </w:r>
    </w:p>
  </w:footnote>
  <w:footnote w:type="continuationSeparator" w:id="0">
    <w:p w14:paraId="3522DEAF" w14:textId="77777777" w:rsidR="00266CB9" w:rsidRDefault="00266CB9" w:rsidP="00FF7B9D">
      <w:pPr>
        <w:spacing w:after="0" w:line="240" w:lineRule="auto"/>
      </w:pPr>
      <w:r>
        <w:continuationSeparator/>
      </w:r>
    </w:p>
  </w:footnote>
  <w:footnote w:id="1">
    <w:p w14:paraId="67C44424" w14:textId="77777777" w:rsidR="00FF7B9D" w:rsidRDefault="00FF7B9D" w:rsidP="00FF7B9D">
      <w:r>
        <w:rPr>
          <w:vertAlign w:val="superscript"/>
        </w:rPr>
        <w:footnoteRef/>
      </w:r>
      <w:r>
        <w:t xml:space="preserve"> William W. Klein, </w:t>
      </w:r>
      <w:hyperlink r:id="rId1" w:history="1">
        <w:r>
          <w:rPr>
            <w:color w:val="0000FF"/>
            <w:u w:val="single"/>
          </w:rPr>
          <w:t>“Ephesians,”</w:t>
        </w:r>
      </w:hyperlink>
      <w:r>
        <w:t xml:space="preserve"> in </w:t>
      </w:r>
      <w:r>
        <w:rPr>
          <w:i/>
        </w:rPr>
        <w:t>The Expositor’s Bible Commentary: Ephesians–Philemon (Revised Edition)</w:t>
      </w:r>
      <w:r>
        <w:t>, ed. Tremper Longman III and David E. Garland, vol. 12 (Grand Rapids, MI: Zondervan, 2006), 73–74.</w:t>
      </w:r>
    </w:p>
  </w:footnote>
  <w:footnote w:id="2">
    <w:p w14:paraId="12E67B89" w14:textId="77777777" w:rsidR="00A17584" w:rsidRDefault="00A17584" w:rsidP="00A17584">
      <w:r>
        <w:rPr>
          <w:vertAlign w:val="superscript"/>
        </w:rPr>
        <w:footnoteRef/>
      </w:r>
      <w:r>
        <w:t xml:space="preserve"> William W. Klein, </w:t>
      </w:r>
      <w:hyperlink r:id="rId2" w:history="1">
        <w:r>
          <w:rPr>
            <w:color w:val="0000FF"/>
            <w:u w:val="single"/>
          </w:rPr>
          <w:t>“Ephesians,”</w:t>
        </w:r>
      </w:hyperlink>
      <w:r>
        <w:t xml:space="preserve"> in </w:t>
      </w:r>
      <w:r>
        <w:rPr>
          <w:i/>
        </w:rPr>
        <w:t>The Expositor’s Bible Commentary: Ephesians–Philemon (Revised Edition)</w:t>
      </w:r>
      <w:r>
        <w:t>, ed. Tremper Longman III and David E. Garland, vol. 12 (Grand Rapids, MI: Zondervan, 2006), 76.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03028"/>
    <w:multiLevelType w:val="hybridMultilevel"/>
    <w:tmpl w:val="4086BC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BF3D1A"/>
    <w:multiLevelType w:val="hybridMultilevel"/>
    <w:tmpl w:val="C296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4326E"/>
    <w:multiLevelType w:val="hybridMultilevel"/>
    <w:tmpl w:val="D44ABE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EF26E82"/>
    <w:multiLevelType w:val="hybridMultilevel"/>
    <w:tmpl w:val="9AAE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72473">
    <w:abstractNumId w:val="3"/>
  </w:num>
  <w:num w:numId="2" w16cid:durableId="1167749070">
    <w:abstractNumId w:val="0"/>
  </w:num>
  <w:num w:numId="3" w16cid:durableId="1594781394">
    <w:abstractNumId w:val="2"/>
  </w:num>
  <w:num w:numId="4" w16cid:durableId="1395086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9D"/>
    <w:rsid w:val="00010F5B"/>
    <w:rsid w:val="00266CB9"/>
    <w:rsid w:val="002731EB"/>
    <w:rsid w:val="002A7149"/>
    <w:rsid w:val="00343798"/>
    <w:rsid w:val="003F3DB1"/>
    <w:rsid w:val="00917F5C"/>
    <w:rsid w:val="009416DD"/>
    <w:rsid w:val="00974046"/>
    <w:rsid w:val="00A07D60"/>
    <w:rsid w:val="00A17584"/>
    <w:rsid w:val="00E477F1"/>
    <w:rsid w:val="00EF3101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171A"/>
  <w15:chartTrackingRefBased/>
  <w15:docId w15:val="{69983174-8AB2-4B48-9F2E-1B232287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B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B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B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B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B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B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7B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7B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B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B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B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B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B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B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B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7B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7B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B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7B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7B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7B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7B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7B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7B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7B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7B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B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7B9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1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584"/>
  </w:style>
  <w:style w:type="paragraph" w:styleId="Footer">
    <w:name w:val="footer"/>
    <w:basedOn w:val="Normal"/>
    <w:link w:val="FooterChar"/>
    <w:uiPriority w:val="99"/>
    <w:unhideWhenUsed/>
    <w:rsid w:val="00A1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ef.ly/logosres/ebcrev12?ref=Bible.Eph2.13&amp;off=659&amp;ctx=+16+(cf.+Col+1%3a20).+~According+to+the+OT+" TargetMode="External"/><Relationship Id="rId1" Type="http://schemas.openxmlformats.org/officeDocument/2006/relationships/hyperlink" Target="https://ref.ly/logosres/ebcrev12?ref=Bible.Eph2.11-22&amp;off=195&amp;ctx=+Jews+and+Gentiles%2c+~Paul+asks+the+Gent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3038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Richard</dc:creator>
  <cp:keywords/>
  <dc:description/>
  <cp:lastModifiedBy>Steven Richard</cp:lastModifiedBy>
  <cp:revision>2</cp:revision>
  <dcterms:created xsi:type="dcterms:W3CDTF">2024-04-17T19:08:00Z</dcterms:created>
  <dcterms:modified xsi:type="dcterms:W3CDTF">2024-04-17T19:08:00Z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eecca1c9-e2b7-44a1-9062-8889331e110f</vt:lpwstr>
  </property>
</Properties>
</file>